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94A" w:rsidRDefault="001F494A" w:rsidP="00A860CA">
      <w:pPr>
        <w:rPr>
          <w:sz w:val="22"/>
          <w:szCs w:val="22"/>
        </w:rPr>
      </w:pP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br/>
        <w:t>Notat om gymnasiernes kapacitet og elevford</w:t>
      </w:r>
      <w:r>
        <w:rPr>
          <w:sz w:val="22"/>
          <w:szCs w:val="22"/>
        </w:rPr>
        <w:t>e</w:t>
      </w:r>
      <w:r>
        <w:rPr>
          <w:sz w:val="22"/>
          <w:szCs w:val="22"/>
        </w:rPr>
        <w:t xml:space="preserve">ling </w:t>
      </w:r>
    </w:p>
    <w:p w:rsidR="001F494A" w:rsidRDefault="001F494A" w:rsidP="00A860CA">
      <w:pPr>
        <w:rPr>
          <w:sz w:val="22"/>
          <w:szCs w:val="22"/>
        </w:rPr>
      </w:pPr>
    </w:p>
    <w:p w:rsidR="001F494A" w:rsidRDefault="001F494A" w:rsidP="00A860CA">
      <w:pPr>
        <w:rPr>
          <w:sz w:val="22"/>
          <w:szCs w:val="22"/>
        </w:rPr>
      </w:pPr>
    </w:p>
    <w:p w:rsidR="001F494A" w:rsidRDefault="001F494A" w:rsidP="00A860CA">
      <w:pPr>
        <w:rPr>
          <w:sz w:val="22"/>
          <w:szCs w:val="22"/>
        </w:rPr>
      </w:pP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Gymnasiernes Bestyrelsesforening har i d</w:t>
      </w:r>
      <w:r>
        <w:rPr>
          <w:sz w:val="22"/>
          <w:szCs w:val="22"/>
        </w:rPr>
        <w:t>e</w:t>
      </w:r>
      <w:r>
        <w:rPr>
          <w:sz w:val="22"/>
          <w:szCs w:val="22"/>
        </w:rPr>
        <w:t>cember 2009 sa</w:t>
      </w:r>
      <w:r>
        <w:rPr>
          <w:sz w:val="22"/>
          <w:szCs w:val="22"/>
        </w:rPr>
        <w:t>m</w:t>
      </w:r>
      <w:r>
        <w:rPr>
          <w:sz w:val="22"/>
          <w:szCs w:val="22"/>
        </w:rPr>
        <w:t>men med Rektorforeningen fremsat forslag om en ny beslu</w:t>
      </w:r>
      <w:r>
        <w:rPr>
          <w:sz w:val="22"/>
          <w:szCs w:val="22"/>
        </w:rPr>
        <w:t>t</w:t>
      </w:r>
      <w:r>
        <w:rPr>
          <w:sz w:val="22"/>
          <w:szCs w:val="22"/>
        </w:rPr>
        <w:t>ningsstruktur for gymnasiernes kapacitet og elevfordeling. Fo</w:t>
      </w:r>
      <w:r>
        <w:rPr>
          <w:sz w:val="22"/>
          <w:szCs w:val="22"/>
        </w:rPr>
        <w:t>r</w:t>
      </w:r>
      <w:r>
        <w:rPr>
          <w:sz w:val="22"/>
          <w:szCs w:val="22"/>
        </w:rPr>
        <w:t>slaget var en reaktion på forlydender om at r</w:t>
      </w:r>
      <w:r>
        <w:rPr>
          <w:sz w:val="22"/>
          <w:szCs w:val="22"/>
        </w:rPr>
        <w:t>e</w:t>
      </w:r>
      <w:r>
        <w:rPr>
          <w:sz w:val="22"/>
          <w:szCs w:val="22"/>
        </w:rPr>
        <w:t>gionerne ikke læ</w:t>
      </w:r>
      <w:r>
        <w:rPr>
          <w:sz w:val="22"/>
          <w:szCs w:val="22"/>
        </w:rPr>
        <w:t>n</w:t>
      </w:r>
      <w:r>
        <w:rPr>
          <w:sz w:val="22"/>
          <w:szCs w:val="22"/>
        </w:rPr>
        <w:t>gere ville sekretariatsbetjene de etablerede fordelingsu</w:t>
      </w:r>
      <w:r>
        <w:rPr>
          <w:sz w:val="22"/>
          <w:szCs w:val="22"/>
        </w:rPr>
        <w:t>d</w:t>
      </w:r>
      <w:r>
        <w:rPr>
          <w:sz w:val="22"/>
          <w:szCs w:val="22"/>
        </w:rPr>
        <w:t>valg.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Situationen i dag er en anden. Dels har der v</w:t>
      </w:r>
      <w:r>
        <w:rPr>
          <w:sz w:val="22"/>
          <w:szCs w:val="22"/>
        </w:rPr>
        <w:t>æ</w:t>
      </w:r>
      <w:r>
        <w:rPr>
          <w:sz w:val="22"/>
          <w:szCs w:val="22"/>
        </w:rPr>
        <w:t>ret en markant debat om de problemer der kny</w:t>
      </w:r>
      <w:r>
        <w:rPr>
          <w:sz w:val="22"/>
          <w:szCs w:val="22"/>
        </w:rPr>
        <w:t>t</w:t>
      </w:r>
      <w:r>
        <w:rPr>
          <w:sz w:val="22"/>
          <w:szCs w:val="22"/>
        </w:rPr>
        <w:t>ter sig til kapacitet og elevfordeling på gymn</w:t>
      </w:r>
      <w:r>
        <w:rPr>
          <w:sz w:val="22"/>
          <w:szCs w:val="22"/>
        </w:rPr>
        <w:t>a</w:t>
      </w:r>
      <w:r>
        <w:rPr>
          <w:sz w:val="22"/>
          <w:szCs w:val="22"/>
        </w:rPr>
        <w:t>sieområdet, og dels ser det ud til at de eksist</w:t>
      </w:r>
      <w:r>
        <w:rPr>
          <w:sz w:val="22"/>
          <w:szCs w:val="22"/>
        </w:rPr>
        <w:t>e</w:t>
      </w:r>
      <w:r>
        <w:rPr>
          <w:sz w:val="22"/>
          <w:szCs w:val="22"/>
        </w:rPr>
        <w:t>rende udvalg stadig kan fungere med regione</w:t>
      </w:r>
      <w:r>
        <w:rPr>
          <w:sz w:val="22"/>
          <w:szCs w:val="22"/>
        </w:rPr>
        <w:t>r</w:t>
      </w:r>
      <w:r>
        <w:rPr>
          <w:sz w:val="22"/>
          <w:szCs w:val="22"/>
        </w:rPr>
        <w:t>nes sekretariatsassista</w:t>
      </w:r>
      <w:r>
        <w:rPr>
          <w:sz w:val="22"/>
          <w:szCs w:val="22"/>
        </w:rPr>
        <w:t>n</w:t>
      </w:r>
      <w:r>
        <w:rPr>
          <w:sz w:val="22"/>
          <w:szCs w:val="22"/>
        </w:rPr>
        <w:t>ce. Vi vil derfor med dette notat redegøre for Bestyrelsesforeni</w:t>
      </w:r>
      <w:r>
        <w:rPr>
          <w:sz w:val="22"/>
          <w:szCs w:val="22"/>
        </w:rPr>
        <w:t>n</w:t>
      </w:r>
      <w:r>
        <w:rPr>
          <w:sz w:val="22"/>
          <w:szCs w:val="22"/>
        </w:rPr>
        <w:t>gens synspunkter, inklusiv de ændringer vi finder nødvendige. Vi har taget i betragtning at der geografisk er store forskelle, når det glæder muligheden for at opfylde de politiske målsæ</w:t>
      </w:r>
      <w:r>
        <w:rPr>
          <w:sz w:val="22"/>
          <w:szCs w:val="22"/>
        </w:rPr>
        <w:t>t</w:t>
      </w:r>
      <w:r>
        <w:rPr>
          <w:sz w:val="22"/>
          <w:szCs w:val="22"/>
        </w:rPr>
        <w:t>ninger ve</w:t>
      </w:r>
      <w:r>
        <w:rPr>
          <w:sz w:val="22"/>
          <w:szCs w:val="22"/>
        </w:rPr>
        <w:t>d</w:t>
      </w:r>
      <w:r>
        <w:rPr>
          <w:sz w:val="22"/>
          <w:szCs w:val="22"/>
        </w:rPr>
        <w:t>rørende ungdomsuddannelserne.</w:t>
      </w:r>
    </w:p>
    <w:p w:rsidR="001F494A" w:rsidRDefault="001F494A" w:rsidP="00A860CA">
      <w:pPr>
        <w:rPr>
          <w:sz w:val="22"/>
          <w:szCs w:val="22"/>
        </w:rPr>
      </w:pP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Kapacitet</w:t>
      </w:r>
      <w:r>
        <w:rPr>
          <w:sz w:val="22"/>
          <w:szCs w:val="22"/>
        </w:rPr>
        <w:br/>
        <w:t>Gymnasiets selveje kan kun fungere, hvis lede</w:t>
      </w:r>
      <w:r>
        <w:rPr>
          <w:sz w:val="22"/>
          <w:szCs w:val="22"/>
        </w:rPr>
        <w:t>l</w:t>
      </w:r>
      <w:r>
        <w:rPr>
          <w:sz w:val="22"/>
          <w:szCs w:val="22"/>
        </w:rPr>
        <w:t>sen på det enkelte gymnasium har ret til at træ</w:t>
      </w:r>
      <w:r>
        <w:rPr>
          <w:sz w:val="22"/>
          <w:szCs w:val="22"/>
        </w:rPr>
        <w:t>f</w:t>
      </w:r>
      <w:r>
        <w:rPr>
          <w:sz w:val="22"/>
          <w:szCs w:val="22"/>
        </w:rPr>
        <w:t>fe egne beslutninger inden for den gæ</w:t>
      </w:r>
      <w:r>
        <w:rPr>
          <w:sz w:val="22"/>
          <w:szCs w:val="22"/>
        </w:rPr>
        <w:t>l</w:t>
      </w:r>
      <w:r>
        <w:rPr>
          <w:sz w:val="22"/>
          <w:szCs w:val="22"/>
        </w:rPr>
        <w:t>dende lovgivning. GBF har fra starten påpeget at min</w:t>
      </w:r>
      <w:r>
        <w:rPr>
          <w:sz w:val="22"/>
          <w:szCs w:val="22"/>
        </w:rPr>
        <w:t>i</w:t>
      </w:r>
      <w:r>
        <w:rPr>
          <w:sz w:val="22"/>
          <w:szCs w:val="22"/>
        </w:rPr>
        <w:t>steriel detailstyring vil være ød</w:t>
      </w:r>
      <w:r>
        <w:rPr>
          <w:sz w:val="22"/>
          <w:szCs w:val="22"/>
        </w:rPr>
        <w:t>e</w:t>
      </w:r>
      <w:r>
        <w:rPr>
          <w:sz w:val="22"/>
          <w:szCs w:val="22"/>
        </w:rPr>
        <w:t>læggende for selvejet. Vi har derfor ikke svært ved at dele det principielle synspunkt, at fastlæggelsen af hvor mange elever man ønsker at optage, bør afg</w:t>
      </w:r>
      <w:r>
        <w:rPr>
          <w:sz w:val="22"/>
          <w:szCs w:val="22"/>
        </w:rPr>
        <w:t>ø</w:t>
      </w:r>
      <w:r>
        <w:rPr>
          <w:sz w:val="22"/>
          <w:szCs w:val="22"/>
        </w:rPr>
        <w:t>res af gy</w:t>
      </w:r>
      <w:r>
        <w:rPr>
          <w:sz w:val="22"/>
          <w:szCs w:val="22"/>
        </w:rPr>
        <w:t>m</w:t>
      </w:r>
      <w:r>
        <w:rPr>
          <w:sz w:val="22"/>
          <w:szCs w:val="22"/>
        </w:rPr>
        <w:t>nasiets ledelse.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Imidlertid er der samfundsmæssige hensyn som nødvendiggør b</w:t>
      </w:r>
      <w:r>
        <w:rPr>
          <w:sz w:val="22"/>
          <w:szCs w:val="22"/>
        </w:rPr>
        <w:t>e</w:t>
      </w:r>
      <w:r>
        <w:rPr>
          <w:sz w:val="22"/>
          <w:szCs w:val="22"/>
        </w:rPr>
        <w:t>grænsninger i beslutningsretten. Det er eksempelvis ikke hensigt</w:t>
      </w:r>
      <w:r>
        <w:rPr>
          <w:sz w:val="22"/>
          <w:szCs w:val="22"/>
        </w:rPr>
        <w:t>s</w:t>
      </w:r>
      <w:r>
        <w:rPr>
          <w:sz w:val="22"/>
          <w:szCs w:val="22"/>
        </w:rPr>
        <w:t>mæssigt at en gymnasieudvidelse fører til lukning af et andet gymn</w:t>
      </w:r>
      <w:r>
        <w:rPr>
          <w:sz w:val="22"/>
          <w:szCs w:val="22"/>
        </w:rPr>
        <w:t>a</w:t>
      </w:r>
      <w:r>
        <w:rPr>
          <w:sz w:val="22"/>
          <w:szCs w:val="22"/>
        </w:rPr>
        <w:t>sium, som samfundet ønsker bev</w:t>
      </w:r>
      <w:r>
        <w:rPr>
          <w:sz w:val="22"/>
          <w:szCs w:val="22"/>
        </w:rPr>
        <w:t>a</w:t>
      </w:r>
      <w:r>
        <w:rPr>
          <w:sz w:val="22"/>
          <w:szCs w:val="22"/>
        </w:rPr>
        <w:t>ret. Ligeledes er der almen støtte til synspunktet om at gymn</w:t>
      </w:r>
      <w:r>
        <w:rPr>
          <w:sz w:val="22"/>
          <w:szCs w:val="22"/>
        </w:rPr>
        <w:t>a</w:t>
      </w:r>
      <w:r>
        <w:rPr>
          <w:sz w:val="22"/>
          <w:szCs w:val="22"/>
        </w:rPr>
        <w:t>sierne skal have en geografisk spredning, hvilket indebærer at gymnasiernes placering og beliggenhed afgøres af statsma</w:t>
      </w:r>
      <w:r>
        <w:rPr>
          <w:sz w:val="22"/>
          <w:szCs w:val="22"/>
        </w:rPr>
        <w:t>g</w:t>
      </w:r>
      <w:r>
        <w:rPr>
          <w:sz w:val="22"/>
          <w:szCs w:val="22"/>
        </w:rPr>
        <w:t>ten.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Det betyder at det skal være muligt for Unde</w:t>
      </w:r>
      <w:r>
        <w:rPr>
          <w:sz w:val="22"/>
          <w:szCs w:val="22"/>
        </w:rPr>
        <w:t>r</w:t>
      </w:r>
      <w:r>
        <w:rPr>
          <w:sz w:val="22"/>
          <w:szCs w:val="22"/>
        </w:rPr>
        <w:t>visningsminister</w:t>
      </w:r>
      <w:r>
        <w:rPr>
          <w:sz w:val="22"/>
          <w:szCs w:val="22"/>
        </w:rPr>
        <w:t>i</w:t>
      </w:r>
      <w:r>
        <w:rPr>
          <w:sz w:val="22"/>
          <w:szCs w:val="22"/>
        </w:rPr>
        <w:t>et at gribe ind, hvis ønsker om udvidelser på ét gymnasium kan føre til økon</w:t>
      </w:r>
      <w:r>
        <w:rPr>
          <w:sz w:val="22"/>
          <w:szCs w:val="22"/>
        </w:rPr>
        <w:t>o</w:t>
      </w:r>
      <w:r>
        <w:rPr>
          <w:sz w:val="22"/>
          <w:szCs w:val="22"/>
        </w:rPr>
        <w:t>misk begrundet lukning af et andet gymnasium, som sa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fundsmæssigt ønskes bevaret. </w:t>
      </w:r>
    </w:p>
    <w:p w:rsidR="001F494A" w:rsidRDefault="001F494A" w:rsidP="008C41C7">
      <w:pPr>
        <w:rPr>
          <w:sz w:val="22"/>
          <w:szCs w:val="22"/>
        </w:rPr>
      </w:pPr>
      <w:r>
        <w:rPr>
          <w:sz w:val="22"/>
          <w:szCs w:val="22"/>
        </w:rPr>
        <w:t>En sådan mekanisme er allerede indbygget i den nuværende struktur for kapacitetsfastlæggelsen, idet ministeriet efter regionernes indb</w:t>
      </w:r>
      <w:r>
        <w:rPr>
          <w:sz w:val="22"/>
          <w:szCs w:val="22"/>
        </w:rPr>
        <w:t>e</w:t>
      </w:r>
      <w:r>
        <w:rPr>
          <w:sz w:val="22"/>
          <w:szCs w:val="22"/>
        </w:rPr>
        <w:t>retning har mulighed for at pålægge et gymnas</w:t>
      </w:r>
      <w:r>
        <w:rPr>
          <w:sz w:val="22"/>
          <w:szCs w:val="22"/>
        </w:rPr>
        <w:t>i</w:t>
      </w:r>
      <w:r>
        <w:rPr>
          <w:sz w:val="22"/>
          <w:szCs w:val="22"/>
        </w:rPr>
        <w:t>um et ’kapacitetsloft’. Før indberetningen til m</w:t>
      </w:r>
      <w:r>
        <w:rPr>
          <w:sz w:val="22"/>
          <w:szCs w:val="22"/>
        </w:rPr>
        <w:t>i</w:t>
      </w:r>
      <w:r>
        <w:rPr>
          <w:sz w:val="22"/>
          <w:szCs w:val="22"/>
        </w:rPr>
        <w:t>nisteriet foret</w:t>
      </w:r>
      <w:r>
        <w:rPr>
          <w:sz w:val="22"/>
          <w:szCs w:val="22"/>
        </w:rPr>
        <w:t>a</w:t>
      </w:r>
      <w:r>
        <w:rPr>
          <w:sz w:val="22"/>
          <w:szCs w:val="22"/>
        </w:rPr>
        <w:t>ges, bliver den samlede kapacitet drøftet og fastlagt lokalt i de forpligtende sama</w:t>
      </w:r>
      <w:r>
        <w:rPr>
          <w:sz w:val="22"/>
          <w:szCs w:val="22"/>
        </w:rPr>
        <w:t>r</w:t>
      </w:r>
      <w:r>
        <w:rPr>
          <w:sz w:val="22"/>
          <w:szCs w:val="22"/>
        </w:rPr>
        <w:t>bejder mellem gymnasierne. Beslutningerne i sa</w:t>
      </w:r>
      <w:r>
        <w:rPr>
          <w:sz w:val="22"/>
          <w:szCs w:val="22"/>
        </w:rPr>
        <w:t>m</w:t>
      </w:r>
      <w:r>
        <w:rPr>
          <w:sz w:val="22"/>
          <w:szCs w:val="22"/>
        </w:rPr>
        <w:t>arbejdet bygger ideelt på konsensus.</w:t>
      </w:r>
    </w:p>
    <w:p w:rsidR="001F494A" w:rsidRDefault="001F494A" w:rsidP="008C41C7">
      <w:pPr>
        <w:rPr>
          <w:sz w:val="22"/>
          <w:szCs w:val="22"/>
        </w:rPr>
      </w:pPr>
      <w:r>
        <w:rPr>
          <w:sz w:val="22"/>
          <w:szCs w:val="22"/>
        </w:rPr>
        <w:t>I kombination med kapacitetsloftet har man e</w:t>
      </w:r>
      <w:r>
        <w:rPr>
          <w:sz w:val="22"/>
          <w:szCs w:val="22"/>
        </w:rPr>
        <w:t>f</w:t>
      </w:r>
      <w:r>
        <w:rPr>
          <w:sz w:val="22"/>
          <w:szCs w:val="22"/>
        </w:rPr>
        <w:t>ter GBFs opfattelse her fundet en tilfredsstille</w:t>
      </w:r>
      <w:r>
        <w:rPr>
          <w:sz w:val="22"/>
          <w:szCs w:val="22"/>
        </w:rPr>
        <w:t>n</w:t>
      </w:r>
      <w:r>
        <w:rPr>
          <w:sz w:val="22"/>
          <w:szCs w:val="22"/>
        </w:rPr>
        <w:t>de løsning - som dog har en enkelt alvorlig brist.</w:t>
      </w:r>
    </w:p>
    <w:p w:rsidR="001F494A" w:rsidRDefault="001F494A" w:rsidP="008C41C7">
      <w:pPr>
        <w:rPr>
          <w:sz w:val="22"/>
          <w:szCs w:val="22"/>
        </w:rPr>
      </w:pPr>
      <w:r>
        <w:rPr>
          <w:sz w:val="22"/>
          <w:szCs w:val="22"/>
        </w:rPr>
        <w:t>Bristen er, at bestyrelserne ikke inddrages eller medvirker i de forpligtende samarbejders end</w:t>
      </w:r>
      <w:r>
        <w:rPr>
          <w:sz w:val="22"/>
          <w:szCs w:val="22"/>
        </w:rPr>
        <w:t>e</w:t>
      </w:r>
      <w:r>
        <w:rPr>
          <w:sz w:val="22"/>
          <w:szCs w:val="22"/>
        </w:rPr>
        <w:t>lige vurdering af kapaciteten.</w:t>
      </w:r>
    </w:p>
    <w:p w:rsidR="001F494A" w:rsidRDefault="001F494A" w:rsidP="008C41C7">
      <w:pPr>
        <w:rPr>
          <w:sz w:val="22"/>
          <w:szCs w:val="22"/>
        </w:rPr>
      </w:pPr>
      <w:r>
        <w:rPr>
          <w:sz w:val="22"/>
          <w:szCs w:val="22"/>
        </w:rPr>
        <w:t>Bestyrelserne har et tydeligt ledelsesansvar o</w:t>
      </w:r>
      <w:r>
        <w:rPr>
          <w:sz w:val="22"/>
          <w:szCs w:val="22"/>
        </w:rPr>
        <w:t>g</w:t>
      </w:r>
      <w:r>
        <w:rPr>
          <w:sz w:val="22"/>
          <w:szCs w:val="22"/>
        </w:rPr>
        <w:t>så på det omr</w:t>
      </w:r>
      <w:r>
        <w:rPr>
          <w:sz w:val="22"/>
          <w:szCs w:val="22"/>
        </w:rPr>
        <w:t>å</w:t>
      </w:r>
      <w:r>
        <w:rPr>
          <w:sz w:val="22"/>
          <w:szCs w:val="22"/>
        </w:rPr>
        <w:t>de der udgør elevoptagelsen. En bestyrelse kan hverken fr</w:t>
      </w:r>
      <w:r>
        <w:rPr>
          <w:sz w:val="22"/>
          <w:szCs w:val="22"/>
        </w:rPr>
        <w:t>a</w:t>
      </w:r>
      <w:r>
        <w:rPr>
          <w:sz w:val="22"/>
          <w:szCs w:val="22"/>
        </w:rPr>
        <w:t>lægge sig ansvar for gymnasiets udvikling eller for lokale og sa</w:t>
      </w:r>
      <w:r>
        <w:rPr>
          <w:sz w:val="22"/>
          <w:szCs w:val="22"/>
        </w:rPr>
        <w:t>m</w:t>
      </w:r>
      <w:r>
        <w:rPr>
          <w:sz w:val="22"/>
          <w:szCs w:val="22"/>
        </w:rPr>
        <w:t>fundsmæssige hensyn, og GBF vil derfor ins</w:t>
      </w:r>
      <w:r>
        <w:rPr>
          <w:sz w:val="22"/>
          <w:szCs w:val="22"/>
        </w:rPr>
        <w:t>i</w:t>
      </w:r>
      <w:r>
        <w:rPr>
          <w:sz w:val="22"/>
          <w:szCs w:val="22"/>
        </w:rPr>
        <w:t>stere på at bestyre</w:t>
      </w:r>
      <w:r>
        <w:rPr>
          <w:sz w:val="22"/>
          <w:szCs w:val="22"/>
        </w:rPr>
        <w:t>l</w:t>
      </w:r>
      <w:r>
        <w:rPr>
          <w:sz w:val="22"/>
          <w:szCs w:val="22"/>
        </w:rPr>
        <w:t>serne bliver repræsenteret i drøftelserne og beslutni</w:t>
      </w:r>
      <w:r>
        <w:rPr>
          <w:sz w:val="22"/>
          <w:szCs w:val="22"/>
        </w:rPr>
        <w:t>n</w:t>
      </w:r>
      <w:r>
        <w:rPr>
          <w:sz w:val="22"/>
          <w:szCs w:val="22"/>
        </w:rPr>
        <w:t>gerne om den endelige kapacitetsindberetning til ministeriet.</w:t>
      </w:r>
    </w:p>
    <w:p w:rsidR="001F494A" w:rsidRDefault="001F494A" w:rsidP="008C41C7">
      <w:pPr>
        <w:rPr>
          <w:sz w:val="22"/>
          <w:szCs w:val="22"/>
        </w:rPr>
      </w:pPr>
      <w:r>
        <w:rPr>
          <w:sz w:val="22"/>
          <w:szCs w:val="22"/>
        </w:rPr>
        <w:t>Hermed vil den nuværende kapacitetsfastlæ</w:t>
      </w:r>
      <w:r>
        <w:rPr>
          <w:sz w:val="22"/>
          <w:szCs w:val="22"/>
        </w:rPr>
        <w:t>g</w:t>
      </w:r>
      <w:r>
        <w:rPr>
          <w:sz w:val="22"/>
          <w:szCs w:val="22"/>
        </w:rPr>
        <w:t>gelse efter GBFs mening kunne fungere i en periode, hvor man overvejer en yderligere impl</w:t>
      </w:r>
      <w:r>
        <w:rPr>
          <w:sz w:val="22"/>
          <w:szCs w:val="22"/>
        </w:rPr>
        <w:t>e</w:t>
      </w:r>
      <w:r>
        <w:rPr>
          <w:sz w:val="22"/>
          <w:szCs w:val="22"/>
        </w:rPr>
        <w:t>mentering af selvejet, således at det enkelte gymnasium får ret til selv at fastsætte hvor mange elevpladser man vil udbyde. I overveje</w:t>
      </w:r>
      <w:r>
        <w:rPr>
          <w:sz w:val="22"/>
          <w:szCs w:val="22"/>
        </w:rPr>
        <w:t>l</w:t>
      </w:r>
      <w:r>
        <w:rPr>
          <w:sz w:val="22"/>
          <w:szCs w:val="22"/>
        </w:rPr>
        <w:t>serne må indgå fo</w:t>
      </w:r>
      <w:r>
        <w:rPr>
          <w:sz w:val="22"/>
          <w:szCs w:val="22"/>
        </w:rPr>
        <w:t>r</w:t>
      </w:r>
      <w:r>
        <w:rPr>
          <w:sz w:val="22"/>
          <w:szCs w:val="22"/>
        </w:rPr>
        <w:t>slag til, hvordan man sikrer de krav som samfundet stiller til den geografiske fordeling af gymnasierne.</w:t>
      </w:r>
    </w:p>
    <w:p w:rsidR="001F494A" w:rsidRDefault="001F494A" w:rsidP="00A860CA">
      <w:pPr>
        <w:rPr>
          <w:sz w:val="22"/>
          <w:szCs w:val="22"/>
        </w:rPr>
      </w:pP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Elevfordeling</w:t>
      </w:r>
      <w:r>
        <w:rPr>
          <w:sz w:val="22"/>
          <w:szCs w:val="22"/>
        </w:rPr>
        <w:br/>
        <w:t>Med de nuværende regler har det enkelte gy</w:t>
      </w:r>
      <w:r>
        <w:rPr>
          <w:sz w:val="22"/>
          <w:szCs w:val="22"/>
        </w:rPr>
        <w:t>m</w:t>
      </w:r>
      <w:r>
        <w:rPr>
          <w:sz w:val="22"/>
          <w:szCs w:val="22"/>
        </w:rPr>
        <w:t>nasium ingen indflyde</w:t>
      </w:r>
      <w:r>
        <w:rPr>
          <w:sz w:val="22"/>
          <w:szCs w:val="22"/>
        </w:rPr>
        <w:t>l</w:t>
      </w:r>
      <w:r>
        <w:rPr>
          <w:sz w:val="22"/>
          <w:szCs w:val="22"/>
        </w:rPr>
        <w:t>se på hvilke elever der skal optages på gymnasiet. Denne manglende beslu</w:t>
      </w:r>
      <w:r>
        <w:rPr>
          <w:sz w:val="22"/>
          <w:szCs w:val="22"/>
        </w:rPr>
        <w:t>t</w:t>
      </w:r>
      <w:r>
        <w:rPr>
          <w:sz w:val="22"/>
          <w:szCs w:val="22"/>
        </w:rPr>
        <w:t>ningsret stemmer dårligt med selvejet, men kan begrundes i to forhold: dels elevernes ret til selv at vælge gymnasium, og dels at el</w:t>
      </w:r>
      <w:r>
        <w:rPr>
          <w:sz w:val="22"/>
          <w:szCs w:val="22"/>
        </w:rPr>
        <w:t>e</w:t>
      </w:r>
      <w:r>
        <w:rPr>
          <w:sz w:val="22"/>
          <w:szCs w:val="22"/>
        </w:rPr>
        <w:t>verne skal sikres kort afstand eller transporttid til gymnasiet.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For at styrke selvejet vil det efter GBFs opfatte</w:t>
      </w:r>
      <w:r>
        <w:rPr>
          <w:sz w:val="22"/>
          <w:szCs w:val="22"/>
        </w:rPr>
        <w:t>l</w:t>
      </w:r>
      <w:r>
        <w:rPr>
          <w:sz w:val="22"/>
          <w:szCs w:val="22"/>
        </w:rPr>
        <w:t>se være hensigtsmæ</w:t>
      </w:r>
      <w:r>
        <w:rPr>
          <w:sz w:val="22"/>
          <w:szCs w:val="22"/>
        </w:rPr>
        <w:t>s</w:t>
      </w:r>
      <w:r>
        <w:rPr>
          <w:sz w:val="22"/>
          <w:szCs w:val="22"/>
        </w:rPr>
        <w:t>sigt at lave en justering af reglerne for elevfordeling, således at man lader det enkelte gymnasiums rektor få indflyde</w:t>
      </w:r>
      <w:r>
        <w:rPr>
          <w:sz w:val="22"/>
          <w:szCs w:val="22"/>
        </w:rPr>
        <w:t>l</w:t>
      </w:r>
      <w:r>
        <w:rPr>
          <w:sz w:val="22"/>
          <w:szCs w:val="22"/>
        </w:rPr>
        <w:t>se på hvem der skal optages på gy</w:t>
      </w:r>
      <w:r>
        <w:rPr>
          <w:sz w:val="22"/>
          <w:szCs w:val="22"/>
        </w:rPr>
        <w:t>m</w:t>
      </w:r>
      <w:r>
        <w:rPr>
          <w:sz w:val="22"/>
          <w:szCs w:val="22"/>
        </w:rPr>
        <w:t>nasiet.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Dette bør ske ikke mindst af hensyn til udvikli</w:t>
      </w:r>
      <w:r>
        <w:rPr>
          <w:sz w:val="22"/>
          <w:szCs w:val="22"/>
        </w:rPr>
        <w:t>n</w:t>
      </w:r>
      <w:r>
        <w:rPr>
          <w:sz w:val="22"/>
          <w:szCs w:val="22"/>
        </w:rPr>
        <w:t>gen af gymnasiets st</w:t>
      </w:r>
      <w:r>
        <w:rPr>
          <w:sz w:val="22"/>
          <w:szCs w:val="22"/>
        </w:rPr>
        <w:t>u</w:t>
      </w:r>
      <w:r>
        <w:rPr>
          <w:sz w:val="22"/>
          <w:szCs w:val="22"/>
        </w:rPr>
        <w:t>dieretninger, som er en af de muligheder et gymnasium har for at pr</w:t>
      </w:r>
      <w:r>
        <w:rPr>
          <w:sz w:val="22"/>
          <w:szCs w:val="22"/>
        </w:rPr>
        <w:t>o</w:t>
      </w:r>
      <w:r>
        <w:rPr>
          <w:sz w:val="22"/>
          <w:szCs w:val="22"/>
        </w:rPr>
        <w:t>filere sig og for at udvikle nye initiativer med hensyn til sammensæ</w:t>
      </w:r>
      <w:r>
        <w:rPr>
          <w:sz w:val="22"/>
          <w:szCs w:val="22"/>
        </w:rPr>
        <w:t>t</w:t>
      </w:r>
      <w:r>
        <w:rPr>
          <w:sz w:val="22"/>
          <w:szCs w:val="22"/>
        </w:rPr>
        <w:t>ning af fag. Såfremt der ikke er muli</w:t>
      </w:r>
      <w:r>
        <w:rPr>
          <w:sz w:val="22"/>
          <w:szCs w:val="22"/>
        </w:rPr>
        <w:t>g</w:t>
      </w:r>
      <w:r>
        <w:rPr>
          <w:sz w:val="22"/>
          <w:szCs w:val="22"/>
        </w:rPr>
        <w:t>hed for at et gymnasium kan rekruttere elever som har interesse for en bestemt studi</w:t>
      </w:r>
      <w:r>
        <w:rPr>
          <w:sz w:val="22"/>
          <w:szCs w:val="22"/>
        </w:rPr>
        <w:t>e</w:t>
      </w:r>
      <w:r>
        <w:rPr>
          <w:sz w:val="22"/>
          <w:szCs w:val="22"/>
        </w:rPr>
        <w:t>retning fordi de er bosat uden for gymnasiets loka</w:t>
      </w:r>
      <w:r>
        <w:rPr>
          <w:sz w:val="22"/>
          <w:szCs w:val="22"/>
        </w:rPr>
        <w:t>l</w:t>
      </w:r>
      <w:r>
        <w:rPr>
          <w:sz w:val="22"/>
          <w:szCs w:val="22"/>
        </w:rPr>
        <w:t>område, mindskes muligheden for at samle elever nok til at nye og innovative studieretni</w:t>
      </w:r>
      <w:r>
        <w:rPr>
          <w:sz w:val="22"/>
          <w:szCs w:val="22"/>
        </w:rPr>
        <w:t>n</w:t>
      </w:r>
      <w:r>
        <w:rPr>
          <w:sz w:val="22"/>
          <w:szCs w:val="22"/>
        </w:rPr>
        <w:t>ger kan gennemføres. Alene derfor vil det være he</w:t>
      </w:r>
      <w:r>
        <w:rPr>
          <w:sz w:val="22"/>
          <w:szCs w:val="22"/>
        </w:rPr>
        <w:t>n</w:t>
      </w:r>
      <w:r>
        <w:rPr>
          <w:sz w:val="22"/>
          <w:szCs w:val="22"/>
        </w:rPr>
        <w:t>sigtsmæssigt at ændre reglerne.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Sagen er yderligere den, at der allerede i dag findes eksempler på at rektorer har kunnet p</w:t>
      </w:r>
      <w:r>
        <w:rPr>
          <w:sz w:val="22"/>
          <w:szCs w:val="22"/>
        </w:rPr>
        <w:t>å</w:t>
      </w:r>
      <w:r>
        <w:rPr>
          <w:sz w:val="22"/>
          <w:szCs w:val="22"/>
        </w:rPr>
        <w:t>virke eller bestemme udvælgelsen af enkelte elever, efter først at have bedt om personligt begrundede ansøgninger. En ændring af regle</w:t>
      </w:r>
      <w:r>
        <w:rPr>
          <w:sz w:val="22"/>
          <w:szCs w:val="22"/>
        </w:rPr>
        <w:t>r</w:t>
      </w:r>
      <w:r>
        <w:rPr>
          <w:sz w:val="22"/>
          <w:szCs w:val="22"/>
        </w:rPr>
        <w:t>ne vil kunne legalisere denne (selvejeorienter</w:t>
      </w:r>
      <w:r>
        <w:rPr>
          <w:sz w:val="22"/>
          <w:szCs w:val="22"/>
        </w:rPr>
        <w:t>e</w:t>
      </w:r>
      <w:r>
        <w:rPr>
          <w:sz w:val="22"/>
          <w:szCs w:val="22"/>
        </w:rPr>
        <w:t>de) praksis.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GBF foreslår derfor, at det, i de gymnasier hvor antallet af 1-prioritesansøgere er større end den fastlagte kapacitet, overl</w:t>
      </w:r>
      <w:r>
        <w:rPr>
          <w:sz w:val="22"/>
          <w:szCs w:val="22"/>
        </w:rPr>
        <w:t>a</w:t>
      </w:r>
      <w:r>
        <w:rPr>
          <w:sz w:val="22"/>
          <w:szCs w:val="22"/>
        </w:rPr>
        <w:t>des til rektor at vælge hvilke af ansøgerne der skal optages, dog sål</w:t>
      </w:r>
      <w:r>
        <w:rPr>
          <w:sz w:val="22"/>
          <w:szCs w:val="22"/>
        </w:rPr>
        <w:t>e</w:t>
      </w:r>
      <w:r>
        <w:rPr>
          <w:sz w:val="22"/>
          <w:szCs w:val="22"/>
        </w:rPr>
        <w:t>des at gymnasiet har pligt til at lade fx mindst halvdelen af o</w:t>
      </w:r>
      <w:r>
        <w:rPr>
          <w:sz w:val="22"/>
          <w:szCs w:val="22"/>
        </w:rPr>
        <w:t>p</w:t>
      </w:r>
      <w:r>
        <w:rPr>
          <w:sz w:val="22"/>
          <w:szCs w:val="22"/>
        </w:rPr>
        <w:t>tagelserne gå til de ansøgere som bor nærmest gy</w:t>
      </w:r>
      <w:r>
        <w:rPr>
          <w:sz w:val="22"/>
          <w:szCs w:val="22"/>
        </w:rPr>
        <w:t>m</w:t>
      </w:r>
      <w:r>
        <w:rPr>
          <w:sz w:val="22"/>
          <w:szCs w:val="22"/>
        </w:rPr>
        <w:t xml:space="preserve">nasiet eller har kortest transporttid til gymnasiet. </w:t>
      </w: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>Den foreslåede ændring kan nemt indføjes i den struktur som allerede er opbygget med fordelingsudvalg som sekretariatsbetjenes af regi</w:t>
      </w:r>
      <w:r>
        <w:rPr>
          <w:sz w:val="22"/>
          <w:szCs w:val="22"/>
        </w:rPr>
        <w:t>o</w:t>
      </w:r>
      <w:r>
        <w:rPr>
          <w:sz w:val="22"/>
          <w:szCs w:val="22"/>
        </w:rPr>
        <w:t>nerne. Denne struktur udmærker sig ligesom kapacitetsfastlæggelsen ved at by</w:t>
      </w:r>
      <w:r>
        <w:rPr>
          <w:sz w:val="22"/>
          <w:szCs w:val="22"/>
        </w:rPr>
        <w:t>g</w:t>
      </w:r>
      <w:r>
        <w:rPr>
          <w:sz w:val="22"/>
          <w:szCs w:val="22"/>
        </w:rPr>
        <w:t>ge på samarbejde mellem gy</w:t>
      </w:r>
      <w:r>
        <w:rPr>
          <w:sz w:val="22"/>
          <w:szCs w:val="22"/>
        </w:rPr>
        <w:t>m</w:t>
      </w:r>
      <w:r>
        <w:rPr>
          <w:sz w:val="22"/>
          <w:szCs w:val="22"/>
        </w:rPr>
        <w:t>nasierne.</w:t>
      </w:r>
    </w:p>
    <w:p w:rsidR="001F494A" w:rsidRDefault="001F494A" w:rsidP="00A860CA">
      <w:pPr>
        <w:rPr>
          <w:sz w:val="22"/>
          <w:szCs w:val="22"/>
        </w:rPr>
      </w:pPr>
    </w:p>
    <w:p w:rsidR="001F494A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 xml:space="preserve">Gymnasiernes Bestyrelsesforening,  3/6 2010      </w:t>
      </w:r>
      <w:r>
        <w:rPr>
          <w:sz w:val="22"/>
          <w:szCs w:val="22"/>
        </w:rPr>
        <w:br/>
      </w:r>
    </w:p>
    <w:p w:rsidR="001F494A" w:rsidRPr="00F7037B" w:rsidRDefault="001F494A" w:rsidP="00A860CA">
      <w:pPr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1F494A" w:rsidRPr="00A860CA" w:rsidRDefault="001F494A" w:rsidP="00A860CA">
      <w:pPr>
        <w:rPr>
          <w:szCs w:val="22"/>
          <w:lang w:val="en-US"/>
        </w:rPr>
      </w:pPr>
    </w:p>
    <w:sectPr w:rsidR="001F494A" w:rsidRPr="00A860CA" w:rsidSect="005C2FDA">
      <w:headerReference w:type="default" r:id="rId6"/>
      <w:footerReference w:type="default" r:id="rId7"/>
      <w:headerReference w:type="first" r:id="rId8"/>
      <w:footerReference w:type="first" r:id="rId9"/>
      <w:pgSz w:w="11900" w:h="16840"/>
      <w:pgMar w:top="3402" w:right="1701" w:bottom="2268" w:left="2835" w:header="992" w:footer="669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494A" w:rsidRDefault="001F494A">
      <w:r>
        <w:separator/>
      </w:r>
    </w:p>
  </w:endnote>
  <w:endnote w:type="continuationSeparator" w:id="0">
    <w:p w:rsidR="001F494A" w:rsidRDefault="001F49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4A" w:rsidRPr="00E33768" w:rsidRDefault="001F494A" w:rsidP="00DA1744">
    <w:pPr>
      <w:pStyle w:val="Footer"/>
      <w:ind w:right="-815"/>
      <w:jc w:val="right"/>
      <w:rPr>
        <w:sz w:val="16"/>
      </w:rPr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-91.3pt;margin-top:-9.95pt;width:45.6pt;height:19.85pt;z-index:251659264;mso-wrap-style:none" stroked="f">
          <v:textbox style="mso-fit-shape-to-text:t">
            <w:txbxContent>
              <w:p w:rsidR="001F494A" w:rsidRPr="008560FF" w:rsidRDefault="001F494A" w:rsidP="008560FF">
                <w:pPr>
                  <w:pStyle w:val="Footer"/>
                </w:pPr>
                <w:r>
                  <w:rPr>
                    <w:sz w:val="22"/>
                    <w:szCs w:val="22"/>
                  </w:rPr>
                  <w:t xml:space="preserve">Side </w:t>
                </w:r>
                <w:r>
                  <w:rPr>
                    <w:sz w:val="22"/>
                    <w:szCs w:val="22"/>
                  </w:rP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  \* MERGEFORMAT </w:instrText>
                </w:r>
                <w:r>
                  <w:rPr>
                    <w:sz w:val="22"/>
                    <w:szCs w:val="22"/>
                  </w:rPr>
                  <w:fldChar w:fldCharType="separate"/>
                </w:r>
                <w:r>
                  <w:rPr>
                    <w:noProof/>
                    <w:sz w:val="22"/>
                    <w:szCs w:val="22"/>
                  </w:rPr>
                  <w:t>2</w:t>
                </w:r>
                <w:r>
                  <w:rPr>
                    <w:sz w:val="22"/>
                    <w:szCs w:val="22"/>
                  </w:rPr>
                  <w:fldChar w:fldCharType="end"/>
                </w:r>
              </w:p>
            </w:txbxContent>
          </v:textbox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4A" w:rsidRDefault="001F494A">
    <w:pPr>
      <w:pStyle w:val="Footer"/>
    </w:pPr>
    <w:r>
      <w:rPr>
        <w:noProof/>
        <w:lang w:eastAsia="da-DK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-18.5pt;margin-top:3.2pt;width:415.3pt;height:18.05pt;z-index:251657216" stroked="f">
          <v:textbox>
            <w:txbxContent>
              <w:p w:rsidR="001F494A" w:rsidRPr="005E3CB0" w:rsidRDefault="001F494A" w:rsidP="005E3CB0">
                <w:pPr>
                  <w:jc w:val="right"/>
                  <w:rPr>
                    <w:sz w:val="16"/>
                    <w:szCs w:val="16"/>
                  </w:rPr>
                </w:pPr>
                <w:r w:rsidRPr="005E3CB0">
                  <w:rPr>
                    <w:sz w:val="16"/>
                    <w:szCs w:val="16"/>
                  </w:rPr>
                  <w:t>Gymnasiernes Bestyrelsesforening • Prinsessegade 35 • 1422 København K •  www.gymbf.dk • tlf 39 61 19 91</w:t>
                </w: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494A" w:rsidRDefault="001F494A">
      <w:r>
        <w:separator/>
      </w:r>
    </w:p>
  </w:footnote>
  <w:footnote w:type="continuationSeparator" w:id="0">
    <w:p w:rsidR="001F494A" w:rsidRDefault="001F49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4A" w:rsidRDefault="001F494A" w:rsidP="00580F6B">
    <w:pPr>
      <w:pStyle w:val="Header"/>
      <w:ind w:left="-1276" w:right="-914"/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alt="logo_gbf.tif" style="position:absolute;left:0;text-align:left;margin-left:255.05pt;margin-top:-15.25pt;width:162.85pt;height:44.05pt;z-index:-251658240;visibility:visible" wrapcoords="-100 0 -100 21234 21600 21234 21600 0 -100 0">
          <v:imagedata r:id="rId1" o:title=""/>
          <w10:wrap type="through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494A" w:rsidRDefault="001F494A" w:rsidP="007A34ED">
    <w:pPr>
      <w:pStyle w:val="Header"/>
      <w:ind w:left="-1276" w:right="-914"/>
      <w:jc w:val="right"/>
    </w:pPr>
    <w:r>
      <w:rPr>
        <w:noProof/>
        <w:lang w:eastAsia="da-DK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0" o:spid="_x0000_s2051" type="#_x0000_t75" alt="logo_gbf.tif" style="position:absolute;left:0;text-align:left;margin-left:224.6pt;margin-top:-24pt;width:162.55pt;height:43.2pt;z-index:-251660288;visibility:visible">
          <v:imagedata r:id="rId1" o:title=""/>
        </v:shape>
      </w:pict>
    </w:r>
  </w:p>
  <w:p w:rsidR="001F494A" w:rsidRDefault="001F494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attachedTemplate r:id="rId1"/>
  <w:stylePaneFormatFilter w:val="3F01"/>
  <w:defaultTabStop w:val="720"/>
  <w:autoHyphenation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4B2A"/>
    <w:rsid w:val="0003442E"/>
    <w:rsid w:val="00117D75"/>
    <w:rsid w:val="00167622"/>
    <w:rsid w:val="0017376D"/>
    <w:rsid w:val="00197CC2"/>
    <w:rsid w:val="001E2361"/>
    <w:rsid w:val="001F0604"/>
    <w:rsid w:val="001F494A"/>
    <w:rsid w:val="0025532C"/>
    <w:rsid w:val="002A2FB9"/>
    <w:rsid w:val="002C6E53"/>
    <w:rsid w:val="002E273A"/>
    <w:rsid w:val="00324B32"/>
    <w:rsid w:val="00363E21"/>
    <w:rsid w:val="00364886"/>
    <w:rsid w:val="00391B82"/>
    <w:rsid w:val="00391F45"/>
    <w:rsid w:val="003A2B0A"/>
    <w:rsid w:val="003B32E1"/>
    <w:rsid w:val="003C3FDE"/>
    <w:rsid w:val="003C7DC5"/>
    <w:rsid w:val="003E41C1"/>
    <w:rsid w:val="003E619E"/>
    <w:rsid w:val="00421522"/>
    <w:rsid w:val="00432784"/>
    <w:rsid w:val="00450DF5"/>
    <w:rsid w:val="00475657"/>
    <w:rsid w:val="00491FA1"/>
    <w:rsid w:val="004C0AF4"/>
    <w:rsid w:val="004D503A"/>
    <w:rsid w:val="004D67A9"/>
    <w:rsid w:val="0050722A"/>
    <w:rsid w:val="005277B5"/>
    <w:rsid w:val="00556BC1"/>
    <w:rsid w:val="00580F6B"/>
    <w:rsid w:val="00590B33"/>
    <w:rsid w:val="005A6B76"/>
    <w:rsid w:val="005B21C5"/>
    <w:rsid w:val="005B679D"/>
    <w:rsid w:val="005C2FDA"/>
    <w:rsid w:val="005E3CB0"/>
    <w:rsid w:val="00616D35"/>
    <w:rsid w:val="00631251"/>
    <w:rsid w:val="00691601"/>
    <w:rsid w:val="0069247F"/>
    <w:rsid w:val="006A3543"/>
    <w:rsid w:val="006D251F"/>
    <w:rsid w:val="0073385B"/>
    <w:rsid w:val="00746054"/>
    <w:rsid w:val="007A34ED"/>
    <w:rsid w:val="007D019C"/>
    <w:rsid w:val="007E78DC"/>
    <w:rsid w:val="00813458"/>
    <w:rsid w:val="008137BB"/>
    <w:rsid w:val="00821D68"/>
    <w:rsid w:val="00835098"/>
    <w:rsid w:val="00850906"/>
    <w:rsid w:val="008560FF"/>
    <w:rsid w:val="00874B2A"/>
    <w:rsid w:val="00890726"/>
    <w:rsid w:val="008934CF"/>
    <w:rsid w:val="008C41C7"/>
    <w:rsid w:val="008C60B8"/>
    <w:rsid w:val="0092312E"/>
    <w:rsid w:val="0094398E"/>
    <w:rsid w:val="0096506A"/>
    <w:rsid w:val="00987039"/>
    <w:rsid w:val="009C3749"/>
    <w:rsid w:val="009D00A9"/>
    <w:rsid w:val="009D2CD0"/>
    <w:rsid w:val="009E0B60"/>
    <w:rsid w:val="00A26D15"/>
    <w:rsid w:val="00A8039E"/>
    <w:rsid w:val="00A85105"/>
    <w:rsid w:val="00A860CA"/>
    <w:rsid w:val="00AC51DC"/>
    <w:rsid w:val="00AE5A4E"/>
    <w:rsid w:val="00B144D3"/>
    <w:rsid w:val="00BD51E4"/>
    <w:rsid w:val="00C149FB"/>
    <w:rsid w:val="00C37E71"/>
    <w:rsid w:val="00C564BB"/>
    <w:rsid w:val="00C817D3"/>
    <w:rsid w:val="00CB0888"/>
    <w:rsid w:val="00CC26BF"/>
    <w:rsid w:val="00CC4A43"/>
    <w:rsid w:val="00CE6995"/>
    <w:rsid w:val="00CF7AEC"/>
    <w:rsid w:val="00D03F04"/>
    <w:rsid w:val="00D21632"/>
    <w:rsid w:val="00D41B24"/>
    <w:rsid w:val="00D65290"/>
    <w:rsid w:val="00D85CA6"/>
    <w:rsid w:val="00D96056"/>
    <w:rsid w:val="00DA1744"/>
    <w:rsid w:val="00DC337B"/>
    <w:rsid w:val="00DC7122"/>
    <w:rsid w:val="00E038F6"/>
    <w:rsid w:val="00E33768"/>
    <w:rsid w:val="00E422DE"/>
    <w:rsid w:val="00E47871"/>
    <w:rsid w:val="00E56480"/>
    <w:rsid w:val="00E70041"/>
    <w:rsid w:val="00E71BF4"/>
    <w:rsid w:val="00F40C4F"/>
    <w:rsid w:val="00F52D88"/>
    <w:rsid w:val="00F7037B"/>
    <w:rsid w:val="00F77DE1"/>
    <w:rsid w:val="00F83115"/>
    <w:rsid w:val="00F865DB"/>
    <w:rsid w:val="00FD6E3F"/>
    <w:rsid w:val="00FE043A"/>
    <w:rsid w:val="00FE44A1"/>
    <w:rsid w:val="00FF4F77"/>
    <w:rsid w:val="00FF5C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Cambria" w:hAnsi="Arial" w:cs="Arial"/>
        <w:sz w:val="22"/>
        <w:szCs w:val="22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700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70041"/>
    <w:rPr>
      <w:rFonts w:cs="Times New Roman"/>
      <w:lang w:val="da-DK"/>
    </w:rPr>
  </w:style>
  <w:style w:type="paragraph" w:styleId="Footer">
    <w:name w:val="footer"/>
    <w:basedOn w:val="Normal"/>
    <w:link w:val="FooterChar"/>
    <w:uiPriority w:val="99"/>
    <w:rsid w:val="00E7004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70041"/>
    <w:rPr>
      <w:rFonts w:cs="Times New Roman"/>
      <w:lang w:val="da-DK"/>
    </w:rPr>
  </w:style>
  <w:style w:type="character" w:styleId="Hyperlink">
    <w:name w:val="Hyperlink"/>
    <w:basedOn w:val="DefaultParagraphFont"/>
    <w:uiPriority w:val="99"/>
    <w:rsid w:val="00117D7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DA17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A1744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99"/>
    <w:rsid w:val="00D96056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BF\Desktop\GBF-skabelon-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GBF-skabelon-1</Template>
  <TotalTime>4</TotalTime>
  <Pages>3</Pages>
  <Words>770</Words>
  <Characters>4703</Characters>
  <Application>Microsoft Office Outlook</Application>
  <DocSecurity>0</DocSecurity>
  <Lines>0</Lines>
  <Paragraphs>0</Paragraphs>
  <ScaleCrop>false</ScaleCrop>
  <Company>Erhvervsskolernes Forlag A/S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GBF</dc:creator>
  <cp:keywords/>
  <dc:description/>
  <cp:lastModifiedBy>NUSER-II</cp:lastModifiedBy>
  <cp:revision>2</cp:revision>
  <cp:lastPrinted>2010-06-02T08:01:00Z</cp:lastPrinted>
  <dcterms:created xsi:type="dcterms:W3CDTF">2010-06-03T13:19:00Z</dcterms:created>
  <dcterms:modified xsi:type="dcterms:W3CDTF">2010-06-03T13:19:00Z</dcterms:modified>
</cp:coreProperties>
</file>